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12bis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415006</w:t>
      </w:r>
    </w:p>
    <w:p>
      <w:pPr>
        <w:pStyle w:val="18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cs="Arial"/>
          <w:b/>
          <w:bCs/>
          <w:highlight w:val="yellow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Hefei, Anhui, China, 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October, 2024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highlight w:val="none"/>
          <w:lang w:val="en-US" w:eastAsia="zh-CN"/>
        </w:rPr>
      </w:pPr>
      <w:r>
        <w:rPr>
          <w:b/>
          <w:sz w:val="22"/>
        </w:rPr>
        <w:t>Agenda Item</w:t>
      </w:r>
      <w:r>
        <w:rPr>
          <w:b/>
          <w:sz w:val="22"/>
          <w:highlight w:val="none"/>
        </w:rPr>
        <w:t>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6.22.2.2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  <w:r>
        <w:rPr>
          <w:sz w:val="22"/>
        </w:rPr>
        <w:t xml:space="preserve"> </w:t>
      </w:r>
    </w:p>
    <w:p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8"/>
      <w:bookmarkStart w:id="4" w:name="OLE_LINK7"/>
      <w:r>
        <w:rPr>
          <w:sz w:val="22"/>
        </w:rPr>
        <w:t xml:space="preserve"> </w:t>
      </w:r>
      <w:bookmarkEnd w:id="2"/>
      <w:r>
        <w:rPr>
          <w:rFonts w:hint="eastAsia"/>
          <w:sz w:val="22"/>
        </w:rPr>
        <w:t>(Netw_Energy_NR</w:t>
      </w:r>
      <w:r>
        <w:rPr>
          <w:rFonts w:hint="eastAsia"/>
          <w:sz w:val="22"/>
          <w:lang w:val="en-US" w:eastAsia="zh-CN"/>
        </w:rPr>
        <w:t>_enh</w:t>
      </w:r>
      <w:r>
        <w:rPr>
          <w:rFonts w:hint="eastAsia"/>
          <w:sz w:val="22"/>
        </w:rPr>
        <w:t>-Core)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Discussion on RRM requirement of signal adaptation for NES enhancement</w:t>
      </w:r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  <w:bookmarkStart w:id="8" w:name="_GoBack"/>
      <w:bookmarkEnd w:id="8"/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In last meeting, RAN4 discussed some general issues and work plans about three objectives in NES enhancement WI.  The WF has been approved in [1]. In this paper, we discuss signal adaptation related issues, and identify RAN4 impacts according to the progress of other working group.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 w:eastAsia="ko-KR"/>
        </w:rPr>
      </w:pPr>
      <w:bookmarkStart w:id="5" w:name="_Hlk70326378"/>
      <w:bookmarkStart w:id="6" w:name="OLE_LINK2"/>
      <w:bookmarkStart w:id="7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A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GB"/>
        </w:rPr>
        <w:t>daptation of common signal/channel transmissions</w:t>
      </w:r>
    </w:p>
    <w:p>
      <w:pPr>
        <w:rPr>
          <w:rFonts w:hint="eastAsia" w:eastAsia="宋体"/>
          <w:b/>
          <w:i/>
          <w:iCs/>
          <w:sz w:val="20"/>
          <w:szCs w:val="20"/>
          <w:u w:val="single"/>
          <w:lang w:val="en-US" w:eastAsia="zh-CN"/>
        </w:rPr>
      </w:pPr>
      <w:r>
        <w:rPr>
          <w:rFonts w:hint="eastAsia" w:eastAsia="宋体"/>
          <w:b/>
          <w:i/>
          <w:iCs/>
          <w:sz w:val="20"/>
          <w:szCs w:val="20"/>
          <w:u w:val="single"/>
          <w:lang w:val="en-US" w:eastAsia="zh-CN"/>
        </w:rPr>
        <w:t>SSB adaptation</w:t>
      </w: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eastAsia" w:eastAsia="宋体"/>
          <w:sz w:val="20"/>
          <w:szCs w:val="20"/>
          <w:vertAlign w:val="baseline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For the scenario of SSB adaptation, RAN1 concluded following agreements [3]: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rPr>
                <w:sz w:val="20"/>
                <w:szCs w:val="20"/>
                <w:highlight w:val="green"/>
                <w:lang w:eastAsia="zh-CN"/>
              </w:rPr>
            </w:pPr>
            <w:r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adaptation mechanism(s) of SSB in time-domain,</w:t>
            </w:r>
          </w:p>
          <w:p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Rel-19 NES-capable UE’s PCell (Connected mode), adaptation of CD-SSB on sync raster is not supported </w:t>
            </w:r>
          </w:p>
          <w:p>
            <w:pPr>
              <w:numPr>
                <w:ilvl w:val="1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FFS: Adaptation for SSB that is not CD-SSB is supported (A2)</w:t>
            </w:r>
          </w:p>
          <w:p>
            <w:pPr>
              <w:numPr>
                <w:ilvl w:val="1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FFS: Adaptation for SSB not on sync raster is supported (A3)</w:t>
            </w:r>
          </w:p>
          <w:p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Rel-19 NES-capable UE’s SCell</w:t>
            </w:r>
          </w:p>
          <w:p>
            <w:pPr>
              <w:numPr>
                <w:ilvl w:val="1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Adaptation of SSB configured for the SCell is supported for the following cases</w:t>
            </w:r>
          </w:p>
          <w:p>
            <w:pPr>
              <w:numPr>
                <w:ilvl w:val="2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FFS: Adaptation for CD-SSB (B1) including UE impact compared to legacy operation where the SSB is configured with periodicity&gt;20msec for SCell</w:t>
            </w:r>
          </w:p>
          <w:p>
            <w:pPr>
              <w:numPr>
                <w:ilvl w:val="2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Adaptation for SSB that is not CD-SSB on sync raster (B2’)</w:t>
            </w:r>
          </w:p>
          <w:p>
            <w:pPr>
              <w:numPr>
                <w:ilvl w:val="2"/>
                <w:numId w:val="4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Adaptation for SSB that is not CD-SSB not on sync raster (B3’)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hint="eastAsia" w:eastAsia="宋体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b/>
          <w:i/>
          <w:iCs/>
          <w:sz w:val="20"/>
          <w:szCs w:val="20"/>
          <w:u w:val="singl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Currently, RAN1 only agreed to adapt the NCD-SSB in time-domain for Rel-19 NES-capable UE</w:t>
      </w:r>
      <w:r>
        <w:rPr>
          <w:rFonts w:hint="default" w:eastAsia="宋体"/>
          <w:sz w:val="20"/>
          <w:szCs w:val="20"/>
          <w:lang w:val="en-US" w:eastAsia="zh-CN"/>
        </w:rPr>
        <w:t>’</w:t>
      </w:r>
      <w:r>
        <w:rPr>
          <w:rFonts w:hint="eastAsia" w:eastAsia="宋体"/>
          <w:sz w:val="20"/>
          <w:szCs w:val="20"/>
          <w:lang w:val="en-US" w:eastAsia="zh-CN"/>
        </w:rPr>
        <w:t>s SCell. RAN4 can also start the SSB adaptation discussion for SCell NCD-SSB, including related L1 and L3 measurement.</w:t>
      </w: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RAN4 also starts the SSB adaptation discussion for SCell NCD-SSB, including related L1 and L3 measurement.</w:t>
      </w:r>
    </w:p>
    <w:p>
      <w:pPr>
        <w:rPr>
          <w:rFonts w:hint="eastAsia" w:eastAsia="宋体"/>
          <w:b/>
          <w:i/>
          <w:iCs/>
          <w:sz w:val="20"/>
          <w:szCs w:val="20"/>
          <w:u w:val="singl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For the mechanism of SSB adaptation, RAN1 concluded following agreements[4]: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rPr>
                <w:rFonts w:ascii="Times New Roman" w:hAnsi="Times New Roman"/>
                <w:sz w:val="20"/>
                <w:szCs w:val="15"/>
                <w:lang w:eastAsia="ko-KR"/>
              </w:rPr>
            </w:pPr>
            <w:r>
              <w:rPr>
                <w:rFonts w:ascii="Times New Roman" w:hAnsi="Times New Roman"/>
                <w:sz w:val="20"/>
                <w:szCs w:val="15"/>
                <w:highlight w:val="green"/>
                <w:lang w:eastAsia="ko-KR"/>
              </w:rPr>
              <w:t>Agreement</w:t>
            </w:r>
          </w:p>
          <w:p>
            <w:pPr>
              <w:rPr>
                <w:rFonts w:ascii="Times New Roman" w:hAnsi="Times New Roman"/>
                <w:sz w:val="20"/>
                <w:szCs w:val="15"/>
                <w:lang w:eastAsia="zh-CN"/>
              </w:rPr>
            </w:pPr>
            <w:r>
              <w:rPr>
                <w:rFonts w:ascii="Times New Roman" w:hAnsi="Times New Roman"/>
                <w:sz w:val="20"/>
                <w:szCs w:val="15"/>
                <w:lang w:eastAsia="zh-CN"/>
              </w:rPr>
              <w:t>For adaptation of SSB in time-domain, Option 1 is supported</w:t>
            </w:r>
          </w:p>
          <w:p>
            <w:pPr>
              <w:numPr>
                <w:ilvl w:val="0"/>
                <w:numId w:val="5"/>
              </w:numPr>
              <w:suppressAutoHyphens/>
              <w:rPr>
                <w:rFonts w:ascii="Times New Roman" w:hAnsi="Times New Roman"/>
                <w:sz w:val="20"/>
                <w:szCs w:val="15"/>
                <w:lang w:eastAsia="zh-CN"/>
              </w:rPr>
            </w:pPr>
            <w:r>
              <w:rPr>
                <w:rFonts w:ascii="Times New Roman" w:hAnsi="Times New Roman"/>
                <w:sz w:val="20"/>
                <w:szCs w:val="15"/>
                <w:lang w:eastAsia="zh-CN"/>
              </w:rPr>
              <w:t>Option 1: Adaptation of SSB burst periodicity using one or more SSB burst periodicity value(s)</w:t>
            </w:r>
          </w:p>
          <w:p>
            <w:pPr>
              <w:numPr>
                <w:ilvl w:val="0"/>
                <w:numId w:val="5"/>
              </w:numPr>
              <w:suppressAutoHyphens/>
              <w:rPr>
                <w:rFonts w:ascii="Times New Roman" w:hAnsi="Times New Roman"/>
                <w:sz w:val="20"/>
                <w:szCs w:val="15"/>
                <w:lang w:eastAsia="zh-CN"/>
              </w:rPr>
            </w:pPr>
            <w:r>
              <w:rPr>
                <w:rFonts w:ascii="Times New Roman" w:hAnsi="Times New Roman"/>
                <w:sz w:val="20"/>
                <w:szCs w:val="15"/>
                <w:lang w:eastAsia="ko-KR"/>
              </w:rPr>
              <w:t>Note: Using Option 2 to realize Option 1 is not precluded</w:t>
            </w:r>
          </w:p>
          <w:p>
            <w:pPr>
              <w:numPr>
                <w:ilvl w:val="1"/>
                <w:numId w:val="5"/>
              </w:numPr>
              <w:suppressAutoHyphens/>
              <w:rPr>
                <w:rFonts w:ascii="Times New Roman" w:hAnsi="Times New Roman"/>
                <w:sz w:val="20"/>
                <w:szCs w:val="15"/>
              </w:rPr>
            </w:pPr>
            <w:r>
              <w:rPr>
                <w:rFonts w:ascii="Times New Roman" w:hAnsi="Times New Roman"/>
                <w:sz w:val="20"/>
                <w:szCs w:val="15"/>
              </w:rPr>
              <w:t>Option 2: Adaptation based on two SSB configurations [where up to two configurations can be active]</w:t>
            </w:r>
          </w:p>
          <w:p>
            <w:pPr>
              <w:numPr>
                <w:ilvl w:val="2"/>
                <w:numId w:val="5"/>
              </w:numPr>
              <w:suppressAutoHyphens/>
              <w:rPr>
                <w:rFonts w:ascii="Times New Roman" w:hAnsi="Times New Roman"/>
                <w:sz w:val="20"/>
                <w:szCs w:val="15"/>
              </w:rPr>
            </w:pPr>
            <w:r>
              <w:rPr>
                <w:rFonts w:ascii="Times New Roman" w:hAnsi="Times New Roman"/>
                <w:sz w:val="20"/>
                <w:szCs w:val="15"/>
              </w:rPr>
              <w:t>FFS: details of the differences between the two SSB configurations, e.g. two different periodicities</w:t>
            </w:r>
          </w:p>
          <w:p>
            <w:pPr>
              <w:numPr>
                <w:ilvl w:val="0"/>
                <w:numId w:val="5"/>
              </w:numPr>
              <w:suppressAutoHyphens/>
              <w:rPr>
                <w:rFonts w:ascii="Times New Roman" w:hAnsi="Times New Roman"/>
                <w:sz w:val="20"/>
                <w:szCs w:val="15"/>
                <w:lang w:eastAsia="zh-CN"/>
              </w:rPr>
            </w:pPr>
            <w:r>
              <w:rPr>
                <w:rFonts w:ascii="Times New Roman" w:hAnsi="Times New Roman"/>
                <w:sz w:val="20"/>
                <w:szCs w:val="15"/>
                <w:lang w:eastAsia="zh-CN"/>
              </w:rPr>
              <w:t xml:space="preserve">FFS: Details including applicable scenarios </w:t>
            </w:r>
          </w:p>
          <w:p>
            <w:pPr>
              <w:numPr>
                <w:ilvl w:val="0"/>
                <w:numId w:val="5"/>
              </w:numPr>
              <w:suppressAutoHyphens/>
              <w:rPr>
                <w:rFonts w:ascii="Times New Roman" w:hAnsi="Times New Roman"/>
                <w:sz w:val="20"/>
                <w:szCs w:val="15"/>
                <w:lang w:eastAsia="zh-CN"/>
              </w:rPr>
            </w:pPr>
            <w:r>
              <w:rPr>
                <w:rFonts w:ascii="Times New Roman" w:hAnsi="Times New Roman"/>
                <w:sz w:val="20"/>
                <w:szCs w:val="15"/>
                <w:lang w:eastAsia="zh-CN"/>
              </w:rPr>
              <w:t>FFS: Support of Cell DTX for connected mode UEs for SSB</w:t>
            </w:r>
          </w:p>
          <w:p>
            <w:pPr>
              <w:rPr>
                <w:rFonts w:ascii="Times New Roman" w:hAnsi="Times New Roman"/>
                <w:sz w:val="20"/>
                <w:szCs w:val="15"/>
                <w:highlight w:val="green"/>
                <w:lang w:eastAsia="ko-KR"/>
              </w:rPr>
            </w:pPr>
          </w:p>
          <w:p>
            <w:pPr>
              <w:rPr>
                <w:rFonts w:ascii="Times New Roman" w:hAnsi="Times New Roman"/>
                <w:sz w:val="20"/>
                <w:szCs w:val="15"/>
                <w:lang w:eastAsia="ko-KR"/>
              </w:rPr>
            </w:pPr>
            <w:r>
              <w:rPr>
                <w:rFonts w:ascii="Times New Roman" w:hAnsi="Times New Roman"/>
                <w:sz w:val="20"/>
                <w:szCs w:val="15"/>
                <w:highlight w:val="green"/>
                <w:lang w:eastAsia="ko-KR"/>
              </w:rPr>
              <w:t>Agreement</w:t>
            </w:r>
          </w:p>
          <w:p>
            <w:pPr>
              <w:rPr>
                <w:rFonts w:cs="Times"/>
                <w:sz w:val="20"/>
                <w:szCs w:val="20"/>
              </w:rPr>
            </w:pPr>
            <w:r>
              <w:rPr>
                <w:rFonts w:cs="Times"/>
                <w:sz w:val="20"/>
                <w:szCs w:val="20"/>
              </w:rPr>
              <w:t>For Cell DTX extension to SSBs not on sync-raster for connected mode UEs, select from following options</w:t>
            </w:r>
          </w:p>
          <w:p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20" w:leftChars="0" w:firstLine="0" w:firstLineChars="0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Option 1: One SSB burst periodicity is configured for the UE and UEs assumes SSB transmissions are not present during Cell DTX non-active period </w:t>
            </w:r>
          </w:p>
          <w:p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20" w:leftChars="0" w:firstLine="0" w:firstLineChars="0"/>
              <w:contextualSpacing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Option 2: UE assumes SSB transmission with different periodicities during Cell DTX non-active period and during Cell DTX active period </w:t>
            </w:r>
          </w:p>
          <w:p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20" w:leftChars="0" w:firstLine="0" w:firstLineChars="0"/>
              <w:contextualSpacing/>
              <w:textAlignment w:val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3: Cell DTX does not impact UE assumption on SSB transmissions (i.e. legacy behavior) – no spec impact</w:t>
            </w:r>
          </w:p>
          <w:p>
            <w:pPr>
              <w:rPr>
                <w:rFonts w:hint="default" w:eastAsia="宋体"/>
                <w:b/>
                <w:i/>
                <w:iCs/>
                <w:sz w:val="20"/>
                <w:szCs w:val="20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eastAsia="宋体"/>
          <w:b/>
          <w:i/>
          <w:iCs/>
          <w:sz w:val="20"/>
          <w:szCs w:val="20"/>
          <w:u w:val="singl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Adaptation of SSB burst periodicity using one or more SSB burst periodicity value(s) is supported, which means there will be SSB periodicity transitions during the measurement.</w:t>
      </w: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eastAsia" w:eastAsia="宋体"/>
          <w:sz w:val="20"/>
          <w:szCs w:val="20"/>
          <w:lang w:val="en-US" w:eastAsia="ko-KR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For the delay requirement during the transition period, we propose to follow the legacy method, that the </w:t>
      </w:r>
      <w:r>
        <w:rPr>
          <w:rFonts w:hint="eastAsia" w:eastAsia="宋体"/>
          <w:sz w:val="20"/>
          <w:szCs w:val="20"/>
          <w:lang w:val="en-US" w:eastAsia="ko-KR"/>
        </w:rPr>
        <w:t>requirements apply based on the longer delay before or after the transition</w:t>
      </w:r>
      <w:r>
        <w:rPr>
          <w:rFonts w:hint="eastAsia" w:eastAsia="宋体"/>
          <w:sz w:val="20"/>
          <w:szCs w:val="20"/>
          <w:lang w:val="en-US" w:eastAsia="zh-CN"/>
        </w:rPr>
        <w:t xml:space="preserve"> when SSB periodicity changes, and </w:t>
      </w:r>
      <w:r>
        <w:rPr>
          <w:rFonts w:hint="eastAsia" w:eastAsia="宋体"/>
          <w:sz w:val="20"/>
          <w:szCs w:val="20"/>
          <w:lang w:val="en-US" w:eastAsia="ko-KR"/>
        </w:rPr>
        <w:t>the requirement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ko-KR"/>
        </w:rPr>
        <w:t xml:space="preserve">corresponding to the second mode </w:t>
      </w:r>
      <w:r>
        <w:rPr>
          <w:rFonts w:hint="eastAsia" w:eastAsia="宋体"/>
          <w:sz w:val="20"/>
          <w:szCs w:val="20"/>
          <w:lang w:val="en-US" w:eastAsia="zh-CN"/>
        </w:rPr>
        <w:t xml:space="preserve">apply </w:t>
      </w:r>
      <w:r>
        <w:rPr>
          <w:rFonts w:hint="eastAsia" w:eastAsia="宋体"/>
          <w:sz w:val="20"/>
          <w:szCs w:val="20"/>
          <w:lang w:val="en-US" w:eastAsia="ko-KR"/>
        </w:rPr>
        <w:t>after transition.</w:t>
      </w: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For the measurement requirement during SSB periodicity transitions period, the legacy transition requirement can be applied.</w:t>
      </w:r>
    </w:p>
    <w:bookmarkEnd w:id="5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57" w:afterLines="50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Based on the discussion above, the following proposals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are concluded. </w:t>
      </w:r>
      <w:bookmarkEnd w:id="6"/>
      <w:bookmarkEnd w:id="7"/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RAN4 also starts the SSB adaptation discussion for SCell NCD-SSB, including related L1 and L3 measurement.</w:t>
      </w:r>
    </w:p>
    <w:p>
      <w:pPr>
        <w:overflowPunct w:val="0"/>
        <w:autoSpaceDE w:val="0"/>
        <w:autoSpaceDN w:val="0"/>
        <w:adjustRightInd w:val="0"/>
        <w:spacing w:after="120"/>
        <w:jc w:val="both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For the measurement requirement during SSB periodicity transitions period, the legacy transition requirement can be applied.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7"/>
        </w:numPr>
        <w:rPr>
          <w:rFonts w:hint="eastAsia"/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US" w:eastAsia="zh-CN"/>
        </w:rPr>
        <w:t>R4-2413885, WF on Netw_Energy_NR_enh, Ericsson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39303"/>
    <w:multiLevelType w:val="singleLevel"/>
    <w:tmpl w:val="A0B39303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4F60BAF"/>
    <w:multiLevelType w:val="multilevel"/>
    <w:tmpl w:val="04F60BA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5D61159"/>
    <w:multiLevelType w:val="multilevel"/>
    <w:tmpl w:val="05D61159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10E6A16"/>
    <w:multiLevelType w:val="multilevel"/>
    <w:tmpl w:val="410E6A16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0B1F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CE0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1793F6E"/>
    <w:rsid w:val="01C31C44"/>
    <w:rsid w:val="026C01AD"/>
    <w:rsid w:val="03F16F56"/>
    <w:rsid w:val="0434763B"/>
    <w:rsid w:val="04605FB2"/>
    <w:rsid w:val="056C0B5C"/>
    <w:rsid w:val="059B2FBB"/>
    <w:rsid w:val="05B66B2B"/>
    <w:rsid w:val="05C31792"/>
    <w:rsid w:val="05E9310D"/>
    <w:rsid w:val="06380D63"/>
    <w:rsid w:val="06C938D1"/>
    <w:rsid w:val="06D13BC6"/>
    <w:rsid w:val="0775691E"/>
    <w:rsid w:val="07E010CA"/>
    <w:rsid w:val="08966482"/>
    <w:rsid w:val="09063CAD"/>
    <w:rsid w:val="091F2183"/>
    <w:rsid w:val="09DA048F"/>
    <w:rsid w:val="0A726FAB"/>
    <w:rsid w:val="0AC91636"/>
    <w:rsid w:val="0AD74098"/>
    <w:rsid w:val="0B3F7A8C"/>
    <w:rsid w:val="0B901DF3"/>
    <w:rsid w:val="0E592C66"/>
    <w:rsid w:val="10252A5E"/>
    <w:rsid w:val="103633B9"/>
    <w:rsid w:val="105C4837"/>
    <w:rsid w:val="125263AC"/>
    <w:rsid w:val="12F708E7"/>
    <w:rsid w:val="12FB52D6"/>
    <w:rsid w:val="13C54761"/>
    <w:rsid w:val="144F009D"/>
    <w:rsid w:val="14E02C25"/>
    <w:rsid w:val="15F8258F"/>
    <w:rsid w:val="164F7B75"/>
    <w:rsid w:val="175519EF"/>
    <w:rsid w:val="187E0711"/>
    <w:rsid w:val="18831A63"/>
    <w:rsid w:val="194C056B"/>
    <w:rsid w:val="198E3F9B"/>
    <w:rsid w:val="19977565"/>
    <w:rsid w:val="1A367ECB"/>
    <w:rsid w:val="1A5E6A80"/>
    <w:rsid w:val="1AA908A3"/>
    <w:rsid w:val="1B81057D"/>
    <w:rsid w:val="1C2A4303"/>
    <w:rsid w:val="1C4140A3"/>
    <w:rsid w:val="1C7E3BD3"/>
    <w:rsid w:val="1CBA70AF"/>
    <w:rsid w:val="1D2B280C"/>
    <w:rsid w:val="1D5B4C92"/>
    <w:rsid w:val="1D5F76BA"/>
    <w:rsid w:val="1DE54287"/>
    <w:rsid w:val="1DF035A9"/>
    <w:rsid w:val="1EB2708E"/>
    <w:rsid w:val="1F6714C5"/>
    <w:rsid w:val="21F31B70"/>
    <w:rsid w:val="2212587A"/>
    <w:rsid w:val="22394DC0"/>
    <w:rsid w:val="2261677D"/>
    <w:rsid w:val="238D325A"/>
    <w:rsid w:val="238F7F15"/>
    <w:rsid w:val="248F342A"/>
    <w:rsid w:val="2539010A"/>
    <w:rsid w:val="25C32E03"/>
    <w:rsid w:val="25EB7656"/>
    <w:rsid w:val="26455B2C"/>
    <w:rsid w:val="26C167B6"/>
    <w:rsid w:val="270D633C"/>
    <w:rsid w:val="27496E3C"/>
    <w:rsid w:val="2884631A"/>
    <w:rsid w:val="28A67D37"/>
    <w:rsid w:val="28CB714E"/>
    <w:rsid w:val="29AF71E8"/>
    <w:rsid w:val="29DD14E4"/>
    <w:rsid w:val="2A2B6CE0"/>
    <w:rsid w:val="2A807AE4"/>
    <w:rsid w:val="2A86553C"/>
    <w:rsid w:val="2C5C2FEC"/>
    <w:rsid w:val="2C5C418D"/>
    <w:rsid w:val="2D202CAF"/>
    <w:rsid w:val="2D322639"/>
    <w:rsid w:val="2D921625"/>
    <w:rsid w:val="2DC659D1"/>
    <w:rsid w:val="2DD75F9C"/>
    <w:rsid w:val="2E464966"/>
    <w:rsid w:val="2E535EC2"/>
    <w:rsid w:val="2E683C59"/>
    <w:rsid w:val="2E871184"/>
    <w:rsid w:val="2F5838B9"/>
    <w:rsid w:val="3007171F"/>
    <w:rsid w:val="312749F9"/>
    <w:rsid w:val="328479C9"/>
    <w:rsid w:val="328A418D"/>
    <w:rsid w:val="3346489F"/>
    <w:rsid w:val="34785525"/>
    <w:rsid w:val="36164F55"/>
    <w:rsid w:val="365E056F"/>
    <w:rsid w:val="3676329D"/>
    <w:rsid w:val="372F4478"/>
    <w:rsid w:val="3895132C"/>
    <w:rsid w:val="38E4448D"/>
    <w:rsid w:val="39E43EC7"/>
    <w:rsid w:val="3A10328B"/>
    <w:rsid w:val="3A622FD7"/>
    <w:rsid w:val="3AC86875"/>
    <w:rsid w:val="3C045223"/>
    <w:rsid w:val="3C0B377F"/>
    <w:rsid w:val="3C66551A"/>
    <w:rsid w:val="3CE57EB2"/>
    <w:rsid w:val="3D3F1B31"/>
    <w:rsid w:val="3D757E60"/>
    <w:rsid w:val="3DCE20FC"/>
    <w:rsid w:val="3E6A7347"/>
    <w:rsid w:val="3E78350E"/>
    <w:rsid w:val="3EDE44D4"/>
    <w:rsid w:val="3FCE5A5F"/>
    <w:rsid w:val="40061999"/>
    <w:rsid w:val="41766342"/>
    <w:rsid w:val="4195149B"/>
    <w:rsid w:val="419A3079"/>
    <w:rsid w:val="41A316E7"/>
    <w:rsid w:val="41B96EC5"/>
    <w:rsid w:val="420333A8"/>
    <w:rsid w:val="42272596"/>
    <w:rsid w:val="4434225B"/>
    <w:rsid w:val="443D3D86"/>
    <w:rsid w:val="446B2DE2"/>
    <w:rsid w:val="45263B26"/>
    <w:rsid w:val="469C1468"/>
    <w:rsid w:val="46A8131D"/>
    <w:rsid w:val="46DB4C8A"/>
    <w:rsid w:val="47117ED3"/>
    <w:rsid w:val="47B63C6D"/>
    <w:rsid w:val="4A6045A0"/>
    <w:rsid w:val="4A7D13F1"/>
    <w:rsid w:val="4AA27C3D"/>
    <w:rsid w:val="4B1E335D"/>
    <w:rsid w:val="4B920C94"/>
    <w:rsid w:val="4BD06085"/>
    <w:rsid w:val="4C5002EC"/>
    <w:rsid w:val="4CC9678E"/>
    <w:rsid w:val="4D1F0167"/>
    <w:rsid w:val="4DCA3EC3"/>
    <w:rsid w:val="4E2931CA"/>
    <w:rsid w:val="4E3A6736"/>
    <w:rsid w:val="4E4D5343"/>
    <w:rsid w:val="4E6C0BC5"/>
    <w:rsid w:val="4F8A27BF"/>
    <w:rsid w:val="4FAF0931"/>
    <w:rsid w:val="50104BC8"/>
    <w:rsid w:val="50406436"/>
    <w:rsid w:val="508E6F34"/>
    <w:rsid w:val="51193AF8"/>
    <w:rsid w:val="52A0321A"/>
    <w:rsid w:val="52F014E6"/>
    <w:rsid w:val="53AC779A"/>
    <w:rsid w:val="541B64BA"/>
    <w:rsid w:val="54343997"/>
    <w:rsid w:val="54A32364"/>
    <w:rsid w:val="550F4C67"/>
    <w:rsid w:val="55633225"/>
    <w:rsid w:val="55855327"/>
    <w:rsid w:val="55A209EE"/>
    <w:rsid w:val="560918AE"/>
    <w:rsid w:val="56134310"/>
    <w:rsid w:val="5670596C"/>
    <w:rsid w:val="56864D16"/>
    <w:rsid w:val="57107129"/>
    <w:rsid w:val="575F74D4"/>
    <w:rsid w:val="57761081"/>
    <w:rsid w:val="5796443F"/>
    <w:rsid w:val="57C552B8"/>
    <w:rsid w:val="58AA2F55"/>
    <w:rsid w:val="59316355"/>
    <w:rsid w:val="5A0D7524"/>
    <w:rsid w:val="5A624644"/>
    <w:rsid w:val="5B0372E4"/>
    <w:rsid w:val="5B1248DB"/>
    <w:rsid w:val="5B475FB3"/>
    <w:rsid w:val="5C3F0114"/>
    <w:rsid w:val="5D111C3D"/>
    <w:rsid w:val="5D52426E"/>
    <w:rsid w:val="5E19471E"/>
    <w:rsid w:val="5E6B3912"/>
    <w:rsid w:val="5EC475D6"/>
    <w:rsid w:val="5EFC6FEB"/>
    <w:rsid w:val="5F5D21FE"/>
    <w:rsid w:val="5FB574AB"/>
    <w:rsid w:val="5FC86F8E"/>
    <w:rsid w:val="5FD22CE7"/>
    <w:rsid w:val="60046178"/>
    <w:rsid w:val="60F65564"/>
    <w:rsid w:val="61253125"/>
    <w:rsid w:val="61A76F12"/>
    <w:rsid w:val="61F5344E"/>
    <w:rsid w:val="62DF6110"/>
    <w:rsid w:val="63792484"/>
    <w:rsid w:val="63BA7386"/>
    <w:rsid w:val="660721B4"/>
    <w:rsid w:val="667C7355"/>
    <w:rsid w:val="67F33176"/>
    <w:rsid w:val="67F9721F"/>
    <w:rsid w:val="688D6724"/>
    <w:rsid w:val="6A13360C"/>
    <w:rsid w:val="6A1B0A0D"/>
    <w:rsid w:val="6A4D75E7"/>
    <w:rsid w:val="6B297D4F"/>
    <w:rsid w:val="6B8B57B2"/>
    <w:rsid w:val="6BDC7C84"/>
    <w:rsid w:val="6C3C1BF0"/>
    <w:rsid w:val="6C9A7CBE"/>
    <w:rsid w:val="6CEC68F6"/>
    <w:rsid w:val="6D376B5F"/>
    <w:rsid w:val="6DEB4013"/>
    <w:rsid w:val="6E156513"/>
    <w:rsid w:val="700379F2"/>
    <w:rsid w:val="70534BFD"/>
    <w:rsid w:val="714F65D4"/>
    <w:rsid w:val="71D432D4"/>
    <w:rsid w:val="71EA4F92"/>
    <w:rsid w:val="727805A8"/>
    <w:rsid w:val="738E1AE0"/>
    <w:rsid w:val="748C49C6"/>
    <w:rsid w:val="74F9640C"/>
    <w:rsid w:val="75307AD5"/>
    <w:rsid w:val="75FA3264"/>
    <w:rsid w:val="7656513E"/>
    <w:rsid w:val="767543BB"/>
    <w:rsid w:val="76A87E18"/>
    <w:rsid w:val="76B71C18"/>
    <w:rsid w:val="76C4680D"/>
    <w:rsid w:val="773853D9"/>
    <w:rsid w:val="77F5053C"/>
    <w:rsid w:val="7883331E"/>
    <w:rsid w:val="78A20C1B"/>
    <w:rsid w:val="78D7305C"/>
    <w:rsid w:val="79951646"/>
    <w:rsid w:val="7A7535BE"/>
    <w:rsid w:val="7AD71133"/>
    <w:rsid w:val="7B2569DF"/>
    <w:rsid w:val="7B4C0432"/>
    <w:rsid w:val="7BBB337B"/>
    <w:rsid w:val="7BC93DFF"/>
    <w:rsid w:val="7C3B4CC2"/>
    <w:rsid w:val="7DDF358F"/>
    <w:rsid w:val="7E3C3FAA"/>
    <w:rsid w:val="7E86642D"/>
    <w:rsid w:val="7F0740B3"/>
    <w:rsid w:val="7F73742C"/>
    <w:rsid w:val="7FAB0C76"/>
    <w:rsid w:val="7FD6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qFormat/>
    <w:uiPriority w:val="0"/>
    <w:pPr>
      <w:ind w:left="1135"/>
    </w:pPr>
  </w:style>
  <w:style w:type="paragraph" w:styleId="11">
    <w:name w:val="caption"/>
    <w:next w:val="1"/>
    <w:link w:val="46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2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3">
    <w:name w:val="annotation text"/>
    <w:basedOn w:val="1"/>
    <w:link w:val="49"/>
    <w:unhideWhenUsed/>
    <w:qFormat/>
    <w:uiPriority w:val="99"/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6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7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3"/>
    <w:next w:val="13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basedOn w:val="23"/>
    <w:semiHidden/>
    <w:unhideWhenUsed/>
    <w:qFormat/>
    <w:uiPriority w:val="99"/>
    <w:rPr>
      <w:sz w:val="21"/>
      <w:szCs w:val="21"/>
    </w:rPr>
  </w:style>
  <w:style w:type="character" w:customStyle="1" w:styleId="26">
    <w:name w:val="页眉 字符"/>
    <w:link w:val="18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2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0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9"/>
    <w:link w:val="34"/>
    <w:qFormat/>
    <w:uiPriority w:val="0"/>
    <w:rPr>
      <w:b/>
      <w:bCs/>
    </w:rPr>
  </w:style>
  <w:style w:type="character" w:customStyle="1" w:styleId="34">
    <w:name w:val="TAH Car"/>
    <w:link w:val="33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6">
    <w:name w:val="题注 字符"/>
    <w:link w:val="11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6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7"/>
    <w:qFormat/>
    <w:uiPriority w:val="99"/>
    <w:rPr>
      <w:sz w:val="18"/>
      <w:szCs w:val="18"/>
    </w:rPr>
  </w:style>
  <w:style w:type="character" w:customStyle="1" w:styleId="49">
    <w:name w:val="批注文字 字符"/>
    <w:basedOn w:val="23"/>
    <w:link w:val="13"/>
    <w:qFormat/>
    <w:uiPriority w:val="99"/>
  </w:style>
  <w:style w:type="character" w:customStyle="1" w:styleId="50">
    <w:name w:val="批注主题 字符"/>
    <w:link w:val="20"/>
    <w:semiHidden/>
    <w:qFormat/>
    <w:uiPriority w:val="99"/>
    <w:rPr>
      <w:b/>
      <w:bCs/>
    </w:rPr>
  </w:style>
  <w:style w:type="paragraph" w:customStyle="1" w:styleId="51">
    <w:name w:val="B1"/>
    <w:basedOn w:val="15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9">
    <w:name w:val="TAL Car"/>
    <w:link w:val="5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8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0">
    <w:name w:val="Placeholder Text"/>
    <w:basedOn w:val="23"/>
    <w:unhideWhenUsed/>
    <w:qFormat/>
    <w:uiPriority w:val="99"/>
    <w:rPr>
      <w:color w:val="808080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3">
    <w:name w:val="Proposal"/>
    <w:basedOn w:val="1"/>
    <w:link w:val="84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4">
    <w:name w:val="Proposal Char"/>
    <w:link w:val="83"/>
    <w:qFormat/>
    <w:uiPriority w:val="0"/>
    <w:rPr>
      <w:rFonts w:ascii="Arial" w:hAnsi="Arial" w:eastAsia="宋体"/>
      <w:b/>
      <w:bCs/>
      <w:lang w:val="en-GB"/>
    </w:rPr>
  </w:style>
  <w:style w:type="character" w:customStyle="1" w:styleId="85">
    <w:name w:val="normaltextrun"/>
    <w:basedOn w:val="23"/>
    <w:qFormat/>
    <w:uiPriority w:val="0"/>
  </w:style>
  <w:style w:type="paragraph" w:customStyle="1" w:styleId="86">
    <w:name w:val="Comments"/>
    <w:basedOn w:val="1"/>
    <w:link w:val="87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B3"/>
    <w:basedOn w:val="10"/>
    <w:qFormat/>
    <w:uiPriority w:val="0"/>
  </w:style>
  <w:style w:type="paragraph" w:customStyle="1" w:styleId="89">
    <w:name w:val="B2"/>
    <w:basedOn w:val="1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1416</Words>
  <Characters>8076</Characters>
  <Lines>67</Lines>
  <Paragraphs>18</Paragraphs>
  <TotalTime>1</TotalTime>
  <ScaleCrop>false</ScaleCrop>
  <LinksUpToDate>false</LinksUpToDate>
  <CharactersWithSpaces>9474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2024-09-30T14:44:28Z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3F7F152D7F8A40E285BF429EB61BAE41</vt:lpwstr>
  </property>
</Properties>
</file>